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4132" w:type="dxa"/>
        <w:gridCol w:w="6854" w:type="dxa"/>
      </w:tblGrid>
      <w:tblPr>
        <w:tblW w:w="10987.2" w:type="dxa"/>
        <w:tblLayout w:type="autofit"/>
        <w:bidiVisual w:val="0"/>
        <w:tblCellMar>
          <w:right w:w="288" w:type="dxa"/>
        </w:tblCellMar>
      </w:tblPr>
      <w:tr>
        <w:trPr>
          <w:trHeight w:val="2376" w:hRule="atLeast"/>
        </w:trPr>
        <w:tc>
          <w:tcPr>
            <w:tcW w:w="4132" w:type="dxa"/>
          </w:tcPr>
          <w:p>
            <w:pPr>
              <w:jc w:val="left"/>
            </w:pPr>
            <w:r>
              <w:pict>
                <v:shape type="#_x0000_t0202" style="width:127pt; height:118pt; margin-left:0pt; margin-top:0pt; mso-position-horizontal:left; mso-position-vertical:top; mso-position-horizontal-relative:char; mso-position-vertical-relative:line;">
                  <w10:wrap type="inline"/>
                  <v:stroke color="white"/>
                  <v:textbox inset="0, 0, 0, 0">
                    <w:txbxContent>
                      <w:p>
                        <w:pPr/>
                        <w:r>
                          <w:pict>
                            <v:shape type="#_x0000_t75" stroked="f" style="width:127pt; height:118pt; margin-left:0pt; margin-top:0pt; mso-position-horizontal:left; mso-position-vertical:top; mso-position-horizontal-relative:char; mso-position-vertical-relative:line;">
                              <w10:wrap type="inline"/>
                              <v:imagedata r:id="rId7" o:title=""/>
                            </v:shape>
                          </w:pict>
                        </w:r>
                      </w:p>
                    </w:txbxContent>
                  </v:textbox>
                </v:shape>
              </w:pict>
            </w:r>
          </w:p>
        </w:tc>
        <w:tc>
          <w:tcPr>
            <w:tcW w:w="6854" w:type="dxa"/>
            <w:tcBorders>
              <w:top w:val="single" w:sz="1" w:color="000000"/>
              <w:bottom w:val="single" w:sz="1" w:color="000000"/>
            </w:tcBorders>
          </w:tcPr>
          <w:p>
            <w:pPr>
              <w:pStyle w:val="namePStyle"/>
            </w:pPr>
            <w:r>
              <w:rPr>
                <w:rStyle w:val="nameFont"/>
              </w:rPr>
              <w:t xml:space="preserve">Russell N. Jarem</w:t>
            </w:r>
          </w:p>
          <w:p>
            <w:pPr>
              <w:pStyle w:val="contactInfoPStyle"/>
            </w:pPr>
            <w:r>
              <w:rPr>
                <w:rStyle w:val="contactInfoFontStyle"/>
              </w:rPr>
              <w:t xml:space="preserve">(He/Him)</w:t>
            </w:r>
          </w:p>
          <w:p>
            <w:pPr>
              <w:pStyle w:val="linebreak"/>
            </w:pPr>
            <w:pPr/>
          </w:p>
          <w:p>
            <w:pPr>
              <w:pStyle w:val="contactInfoPStyle"/>
            </w:pPr>
            <w:r>
              <w:rPr>
                <w:rStyle w:val="contactInfoFontStyle"/>
              </w:rPr>
              <w:t xml:space="preserve">Of Counsel</w:t>
            </w:r>
          </w:p>
          <w:p>
            <w:pPr>
              <w:pStyle w:val="contactInfoPStyle"/>
            </w:pPr>
            <w:r>
              <w:rPr>
                <w:rStyle w:val="contactInfoFontStyle"/>
              </w:rPr>
              <w:t xml:space="preserve">Orange County</w:t>
            </w:r>
          </w:p>
          <w:p>
            <w:pPr>
              <w:pStyle w:val="linebreak"/>
            </w:pPr>
            <w:pPr/>
          </w:p>
          <w:p>
            <w:pPr>
              <w:pStyle w:val="contactInfoPStyle2"/>
            </w:pPr>
            <w:r>
              <w:rPr>
                <w:rStyle w:val="contactInfoFontStyle"/>
              </w:rPr>
              <w:t xml:space="preserve">P 949-885-1360</w:t>
            </w:r>
          </w:p>
          <w:p>
            <w:pPr>
              <w:pStyle w:val="contactInfoPStyle2"/>
            </w:pPr>
            <w:r>
              <w:rPr>
                <w:rStyle w:val="contactInfoFontStyle"/>
              </w:rPr>
              <w:t xml:space="preserve">F 949-885-1380</w:t>
            </w:r>
          </w:p>
          <w:p>
            <w:pPr>
              <w:pStyle w:val="linebreak"/>
            </w:pPr>
            <w:pPr/>
          </w:p>
          <w:p>
            <w:pPr>
              <w:pStyle w:val="contactInfoPStyle2"/>
            </w:pPr>
            <w:r>
              <w:rPr>
                <w:rStyle w:val="contactInfoFontStyle"/>
              </w:rPr>
              <w:t xml:space="preserve">Russell.Jarem@jacksonlewis.com</w:t>
            </w:r>
          </w:p>
        </w:tc>
      </w:tr>
      <w:tr>
        <w:trPr/>
        <w:tc>
          <w:tcPr>
            <w:tcW w:w="4132" w:type="dxa"/>
          </w:tcPr>
          <w:p>
            <w:pPr>
              <w:pStyle w:val="linebreak"/>
            </w:pPr>
            <w:pPr/>
          </w:p>
          <w:p>
            <w:pPr>
              <w:pStyle w:val="sHeadingParargaphStyle"/>
            </w:pPr>
            <w:r>
              <w:rPr>
                <w:rStyle w:val="sHeadingFontStyle"/>
              </w:rPr>
              <w:t xml:space="preserve">Practices</w:t>
            </w:r>
          </w:p>
          <w:p>
            <w:pPr>
              <w:pStyle w:val="sListParagraphStyle"/>
              <w:numPr>
                <w:ilvl w:val="0"/>
                <w:numId w:val="18"/>
              </w:numPr>
            </w:pPr>
            <w:r>
              <w:rPr>
                <w:rStyle w:val="sListFontStyle"/>
              </w:rPr>
              <w:t xml:space="preserve">Advice and Counsel</w:t>
            </w:r>
          </w:p>
          <w:p>
            <w:pPr>
              <w:pStyle w:val="sListParagraphStyle"/>
              <w:numPr>
                <w:ilvl w:val="0"/>
                <w:numId w:val="18"/>
              </w:numPr>
            </w:pPr>
            <w:r>
              <w:rPr>
                <w:rStyle w:val="sListFontStyle"/>
              </w:rPr>
              <w:t xml:space="preserve">Disability, Leave and Health Management</w:t>
            </w:r>
          </w:p>
          <w:p>
            <w:pPr>
              <w:pStyle w:val="sListParagraphStyle"/>
              <w:numPr>
                <w:ilvl w:val="0"/>
                <w:numId w:val="18"/>
              </w:numPr>
            </w:pPr>
            <w:r>
              <w:rPr>
                <w:rStyle w:val="sListFontStyle"/>
              </w:rPr>
              <w:t xml:space="preserve">Litigation</w:t>
            </w:r>
          </w:p>
          <w:p>
            <w:pPr>
              <w:pStyle w:val="sListParagraphStyle"/>
              <w:numPr>
                <w:ilvl w:val="0"/>
                <w:numId w:val="18"/>
              </w:numPr>
            </w:pPr>
            <w:r>
              <w:rPr>
                <w:rStyle w:val="sListFontStyle"/>
              </w:rPr>
              <w:t xml:space="preserve">Restrictive Covenants, Trade Secrets and Unfair Competition</w:t>
            </w:r>
          </w:p>
          <w:p>
            <w:pPr>
              <w:pStyle w:val="sListParagraphStyle"/>
              <w:numPr>
                <w:ilvl w:val="0"/>
                <w:numId w:val="18"/>
              </w:numPr>
            </w:pPr>
            <w:r>
              <w:rPr>
                <w:rStyle w:val="sListFontStyle"/>
              </w:rPr>
              <w:t xml:space="preserve">Workplace Training</w:t>
            </w:r>
          </w:p>
          <w:p>
            <w:pPr>
              <w:pStyle w:val="sTextBreakParagraphStyle"/>
            </w:pPr>
            <w:pPr>
              <w:rPr>
                <w:rStyle w:val="sHeadingFontStyle"/>
              </w:rPr>
            </w:pPr>
          </w:p>
          <w:p>
            <w:pPr>
              <w:pStyle w:val="sHeadingParargaphStyle"/>
            </w:pPr>
            <w:r>
              <w:rPr>
                <w:rStyle w:val="sHeadingFontStyle"/>
              </w:rPr>
              <w:t xml:space="preserve">Industries</w:t>
            </w:r>
          </w:p>
          <w:p>
            <w:pPr>
              <w:pStyle w:val="sListParagraphStyle"/>
              <w:numPr>
                <w:ilvl w:val="0"/>
                <w:numId w:val="18"/>
              </w:numPr>
            </w:pPr>
            <w:r>
              <w:rPr>
                <w:rStyle w:val="sListFontStyle"/>
              </w:rPr>
              <w:t xml:space="preserve">Hospitality</w:t>
            </w:r>
          </w:p>
          <w:p>
            <w:pPr>
              <w:pStyle w:val="sListParagraphStyle"/>
              <w:numPr>
                <w:ilvl w:val="0"/>
                <w:numId w:val="18"/>
              </w:numPr>
            </w:pPr>
            <w:r>
              <w:rPr>
                <w:rStyle w:val="sListFontStyle"/>
              </w:rPr>
              <w:t xml:space="preserve">Restaurants</w:t>
            </w:r>
          </w:p>
          <w:p>
            <w:pPr>
              <w:pStyle w:val="sTextBreakParagraphStyle"/>
            </w:pPr>
            <w:pPr>
              <w:rPr>
                <w:rStyle w:val="sHeadingFontStyle"/>
              </w:rPr>
            </w:pPr>
          </w:p>
          <w:p>
            <w:pPr>
              <w:pStyle w:val="sHeadingParargaphStyle"/>
            </w:pPr>
            <w:r>
              <w:rPr>
                <w:rStyle w:val="sHeadingFontStyle"/>
              </w:rPr>
              <w:t xml:space="preserve">Education</w:t>
            </w:r>
          </w:p>
          <w:p>
            <w:pPr>
              <w:pStyle w:val="sListParagraphStyle"/>
              <w:numPr>
                <w:ilvl w:val="0"/>
                <w:numId w:val="18"/>
              </w:numPr>
            </w:pPr>
            <w:r>
              <w:rPr>
                <w:rStyle w:val="sListFontStyle"/>
              </w:rPr>
              <w:t xml:space="preserve">University of Connecticut School of Law</w:t>
            </w:r>
            <w:r>
              <w:rPr>
                <w:rStyle w:val="sListFontStyle"/>
              </w:rPr>
              <w:t xml:space="preserve">, J.D.</w:t>
            </w:r>
            <w:r>
              <w:rPr>
                <w:rStyle w:val="sListFontStyle"/>
              </w:rPr>
              <w:t xml:space="preserve">, 2007</w:t>
            </w:r>
            <w:r>
              <w:rPr>
                <w:rStyle w:val="sListFontStyle"/>
              </w:rPr>
              <w:t xml:space="preserve"/>
            </w:r>
            <w:r>
              <w:rPr/>
              <w:t xml:space="preserve">, </w:t>
            </w:r>
            <w:r>
              <w:rPr>
                <w:rStyle w:val="sListFontStyleItalic"/>
              </w:rPr>
              <w:t xml:space="preserve">cum laude</w:t>
            </w:r>
          </w:p>
          <w:p>
            <w:pPr>
              <w:pStyle w:val="sListParagraphStyle"/>
              <w:numPr>
                <w:ilvl w:val="0"/>
                <w:numId w:val="18"/>
              </w:numPr>
            </w:pPr>
            <w:r>
              <w:rPr>
                <w:rStyle w:val="sListFontStyle"/>
              </w:rPr>
              <w:t xml:space="preserve">Providence College</w:t>
            </w:r>
            <w:r>
              <w:rPr>
                <w:rStyle w:val="sListFontStyle"/>
              </w:rPr>
              <w:t xml:space="preserve">, B.S.</w:t>
            </w:r>
            <w:r>
              <w:rPr>
                <w:rStyle w:val="sListFontStyle"/>
              </w:rPr>
              <w:t xml:space="preserve">, 2004</w:t>
            </w:r>
            <w:r>
              <w:rPr>
                <w:rStyle w:val="sListFontStyle"/>
              </w:rPr>
              <w:t xml:space="preserve"/>
            </w:r>
            <w:r>
              <w:rPr/>
              <w:t xml:space="preserve">, </w:t>
            </w:r>
            <w:r>
              <w:rPr>
                <w:rStyle w:val="sListFontStyleItalic"/>
              </w:rPr>
              <w:t xml:space="preserve">magna cum laude</w:t>
            </w:r>
          </w:p>
          <w:p>
            <w:pPr>
              <w:pStyle w:val="sTextBreakParagraphStyle"/>
            </w:pPr>
            <w:pPr>
              <w:rPr>
                <w:rStyle w:val="sHeadingFontStyle"/>
              </w:rPr>
            </w:pPr>
          </w:p>
          <w:p>
            <w:pPr>
              <w:pStyle w:val="sHeadingParargaphStyle"/>
            </w:pPr>
            <w:r>
              <w:rPr>
                <w:rStyle w:val="sHeadingFontStyle"/>
              </w:rPr>
              <w:t xml:space="preserve">Admitted to Practice</w:t>
            </w:r>
          </w:p>
          <w:p>
            <w:pPr>
              <w:pStyle w:val="sListParagraphStyle"/>
              <w:numPr>
                <w:ilvl w:val="0"/>
                <w:numId w:val="18"/>
              </w:numPr>
            </w:pPr>
            <w:r>
              <w:rPr>
                <w:rStyle w:val="sListFontStyle"/>
              </w:rPr>
              <w:t xml:space="preserve">2nd Circuit Court of Appeals</w:t>
            </w:r>
            <w:r>
              <w:rPr>
                <w:rStyle w:val="sListFontStyle"/>
              </w:rPr>
              <w:t xml:space="preserve">, 2009</w:t>
            </w:r>
          </w:p>
          <w:p>
            <w:pPr>
              <w:pStyle w:val="sListParagraphStyle"/>
              <w:numPr>
                <w:ilvl w:val="0"/>
                <w:numId w:val="18"/>
              </w:numPr>
            </w:pPr>
            <w:r>
              <w:rPr>
                <w:rStyle w:val="sListFontStyle"/>
              </w:rPr>
              <w:t xml:space="preserve">Connecticut - D. Conn.</w:t>
            </w:r>
            <w:r>
              <w:rPr>
                <w:rStyle w:val="sListFontStyle"/>
              </w:rPr>
              <w:t xml:space="preserve">, 2008</w:t>
            </w:r>
          </w:p>
          <w:p>
            <w:pPr>
              <w:pStyle w:val="sListParagraphStyle"/>
              <w:numPr>
                <w:ilvl w:val="0"/>
                <w:numId w:val="18"/>
              </w:numPr>
            </w:pPr>
            <w:r>
              <w:rPr>
                <w:rStyle w:val="sListFontStyle"/>
              </w:rPr>
              <w:t xml:space="preserve">California - C.D. Cal.</w:t>
            </w:r>
            <w:r>
              <w:rPr>
                <w:rStyle w:val="sListFontStyle"/>
              </w:rPr>
              <w:t xml:space="preserve">, 2023</w:t>
            </w:r>
          </w:p>
          <w:p>
            <w:pPr>
              <w:pStyle w:val="sListParagraphStyle"/>
              <w:numPr>
                <w:ilvl w:val="0"/>
                <w:numId w:val="18"/>
              </w:numPr>
            </w:pPr>
            <w:r>
              <w:rPr>
                <w:rStyle w:val="sListFontStyle"/>
              </w:rPr>
              <w:t xml:space="preserve">California</w:t>
            </w:r>
            <w:r>
              <w:rPr>
                <w:rStyle w:val="sListFontStyle"/>
              </w:rPr>
              <w:t xml:space="preserve">, 2023</w:t>
            </w:r>
          </w:p>
          <w:p>
            <w:pPr>
              <w:pStyle w:val="sListParagraphStyle"/>
              <w:numPr>
                <w:ilvl w:val="0"/>
                <w:numId w:val="18"/>
              </w:numPr>
            </w:pPr>
            <w:r>
              <w:rPr>
                <w:rStyle w:val="sListFontStyle"/>
              </w:rPr>
              <w:t xml:space="preserve">Connecticut</w:t>
            </w:r>
            <w:r>
              <w:rPr>
                <w:rStyle w:val="sListFontStyle"/>
              </w:rPr>
              <w:t xml:space="preserve">, 2007</w:t>
            </w:r>
          </w:p>
          <w:p>
            <w:pPr>
              <w:pStyle w:val="sListParagraphStyle"/>
              <w:numPr>
                <w:ilvl w:val="0"/>
                <w:numId w:val="18"/>
              </w:numPr>
            </w:pPr>
            <w:r>
              <w:rPr>
                <w:rStyle w:val="sListFontStyle"/>
              </w:rPr>
              <w:t xml:space="preserve">Massachusetts</w:t>
            </w:r>
            <w:r>
              <w:rPr>
                <w:rStyle w:val="sListFontStyle"/>
              </w:rPr>
              <w:t xml:space="preserve">, 2008</w:t>
            </w:r>
          </w:p>
          <w:p>
            <w:pPr>
              <w:pStyle w:val="sTextBreakParagraphStyle"/>
            </w:pPr>
            <w:pPr>
              <w:rPr>
                <w:rStyle w:val="sHeadingFontStyle"/>
              </w:rPr>
            </w:pPr>
          </w:p>
          <w:p>
            <w:pPr>
              <w:pStyle w:val="sHeadingParargaphStyle"/>
            </w:pPr>
            <w:r>
              <w:rPr>
                <w:rStyle w:val="sHeadingFontStyle"/>
              </w:rPr>
              <w:t xml:space="preserve">Professional Associations and Activities</w:t>
            </w:r>
          </w:p>
          <w:p>
            <w:pPr>
              <w:pStyle w:val="sListParagraphStyle"/>
              <w:numPr>
                <w:ilvl w:val="0"/>
                <w:numId w:val="18"/>
              </w:numPr>
            </w:pPr>
            <w:r>
              <w:rPr>
                <w:rStyle w:val="sListFontStyle"/>
              </w:rPr>
              <w:t xml:space="preserve">American Bar Association</w:t>
            </w:r>
            <w:r>
              <w:rPr>
                <w:rStyle w:val="sListFontStyle"/>
              </w:rPr>
              <w:t xml:space="preserve"/>
            </w:r>
          </w:p>
          <w:p>
            <w:pPr>
              <w:pStyle w:val="sListParagraphStyle"/>
              <w:numPr>
                <w:ilvl w:val="0"/>
                <w:numId w:val="18"/>
              </w:numPr>
            </w:pPr>
            <w:r>
              <w:rPr>
                <w:rStyle w:val="sListFontStyle"/>
              </w:rPr>
              <w:t xml:space="preserve">Connecticut Bar Association</w:t>
            </w:r>
            <w:r>
              <w:rPr>
                <w:rStyle w:val="sListFontStyle"/>
              </w:rPr>
              <w:t xml:space="preserve">, Labor &amp; Employment Section</w:t>
            </w:r>
          </w:p>
          <w:p>
            <w:pPr>
              <w:pStyle w:val="sListParagraphStyle"/>
              <w:numPr>
                <w:ilvl w:val="0"/>
                <w:numId w:val="18"/>
              </w:numPr>
            </w:pPr>
            <w:r>
              <w:rPr>
                <w:rStyle w:val="sListFontStyle"/>
              </w:rPr>
              <w:t xml:space="preserve">Connecticut Commission on Judicial Compensation</w:t>
            </w:r>
            <w:r>
              <w:rPr>
                <w:rStyle w:val="sListFontStyle"/>
              </w:rPr>
              <w:t xml:space="preserve">, (2020-2023)</w:t>
            </w:r>
          </w:p>
          <w:p>
            <w:pPr>
              <w:pStyle w:val="sListParagraphStyle"/>
              <w:numPr>
                <w:ilvl w:val="0"/>
                <w:numId w:val="18"/>
              </w:numPr>
            </w:pPr>
            <w:r>
              <w:rPr>
                <w:rStyle w:val="sListFontStyle"/>
              </w:rPr>
              <w:t xml:space="preserve">Defense Research Institute (DRI)</w:t>
            </w:r>
            <w:r>
              <w:rPr>
                <w:rStyle w:val="sListFontStyle"/>
              </w:rPr>
              <w:t xml:space="preserve">, Employment Section</w:t>
            </w:r>
          </w:p>
          <w:p>
            <w:pPr>
              <w:pStyle w:val="sListParagraphStyle"/>
              <w:numPr>
                <w:ilvl w:val="0"/>
                <w:numId w:val="18"/>
              </w:numPr>
            </w:pPr>
            <w:r>
              <w:rPr>
                <w:rStyle w:val="sListFontStyle"/>
              </w:rPr>
              <w:t xml:space="preserve">Riverfront Recapture</w:t>
            </w:r>
            <w:r>
              <w:rPr>
                <w:rStyle w:val="sListFontStyle"/>
              </w:rPr>
              <w:t xml:space="preserve">, Board Member   </w:t>
            </w:r>
          </w:p>
          <w:p>
            <w:pPr>
              <w:pStyle w:val="sTextBreakParagraphStyle"/>
            </w:pPr>
            <w:pPr>
              <w:rPr>
                <w:rStyle w:val="sHeadingFontStyle"/>
              </w:rPr>
            </w:pPr>
          </w:p>
        </w:tc>
        <w:tc>
          <w:tcPr>
            <w:tcW w:w="6854" w:type="dxa"/>
          </w:tcPr>
          <w:p>
            <w:pPr>
              <w:pStyle w:val="linebreak"/>
            </w:pPr>
            <w:pPr/>
          </w:p>
          <w:p>
            <w:pPr/>
            <w:r>
              <w:rPr/>
              <w:t xml:space="preserve">Russell N. Jarem is of counsel in the Orange County, California, and the Hartford, Connecticut, offices of Jackson Lewis P.C. His practice focuses on representing employers in workplace law matters, including preventive advice and counseling.</w:t>
            </w:r>
          </w:p>
          <w:p>
            <w:pPr/>
            <w:r>
              <w:rPr/>
              <w:t xml:space="preserve">Russell regularly advises and represents employers in a broad range of employment law matters, including litigation under state and federal anti-discrimination statutes in a variety of forums, including state and federal courts, the Department of Labor, the Connecticut Commission on Human Rights and Opportunities, and the Equal Employment Opportunities Commission. Russell has broad experience handling matters involving employment discrimination, wrongful termination, breach of contract, breach of restrictive covenants, workplace harassment, retaliation, and a variety of other statutory and common law claims.</w:t>
            </w:r>
          </w:p>
          <w:p>
            <w:pPr/>
            <w:r>
              <w:rPr/>
              <w:t xml:space="preserve">In addition to providing litigation support, Russell counsels employers on issues arising at all stages of employment relationships.</w:t>
            </w:r>
          </w:p>
          <w:p>
            <w:pPr>
              <w:pStyle w:val="Heading3"/>
            </w:pPr>
            <w:r>
              <w:rPr>
                <w:color w:val="3b1466"/>
                <w:sz w:val="24"/>
                <w:szCs w:val="24"/>
                <w:b w:val="1"/>
                <w:bCs w:val="1"/>
              </w:rPr>
              <w:t xml:space="preserve">Honors and Recognitions</w:t>
            </w:r>
          </w:p>
          <w:p>
            <w:pPr>
              <w:numPr>
                <w:ilvl w:val="0"/>
                <w:numId w:val="21"/>
              </w:numPr>
            </w:pPr>
            <w:r>
              <w:rPr>
                <w:i w:val="1"/>
                <w:iCs w:val="1"/>
              </w:rPr>
              <w:t xml:space="preserve">The Best Lawyers in America©</w:t>
            </w:r>
            <w:r>
              <w:rPr/>
              <w:t xml:space="preserve">, “Ones to Watch: Labor and Employment Law – Management" and "Ones to Watch: Litigation – Labor and Employment” (2024-present)</w:t>
            </w:r>
          </w:p>
          <w:p>
            <w:pPr>
              <w:numPr>
                <w:ilvl w:val="0"/>
                <w:numId w:val="21"/>
              </w:numPr>
            </w:pPr>
            <w:r>
              <w:rPr>
                <w:i w:val="1"/>
                <w:iCs w:val="1"/>
              </w:rPr>
              <w:t xml:space="preserve">Connecticut Law Tribune</w:t>
            </w:r>
            <w:r>
              <w:rPr/>
              <w:t xml:space="preserve">, "New Leaders in the Law" (2022)</w:t>
            </w:r>
          </w:p>
        </w:tc>
      </w:tr>
    </w:tbl>
    <w:sectPr>
      <w:headerReference w:type="first" r:id="rId8"/>
      <w:footerReference w:type="first" r:id="rId9"/>
      <w:footerReference w:type="default" r:id="rId10"/>
      <w:titlePg/>
      <w:pgSz w:orient="portrait" w:w="11905.511811023622" w:h="16837.79527559055"/>
      <w:pgMar w:top="400" w:right="400" w:bottom="400" w:left="400" w:header="936" w:footer="503.99999999999994"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start"/>
      <w:spacing w:before="0" w:after="0" w:line="240" w:lineRule="auto"/>
    </w:pPr>
    <w:pPr>
      <w:rPr>
        <w:rFonts w:ascii="Calibri" w:hAnsi="Calibri" w:eastAsia="Calibri" w:cs="Calibri"/>
        <w:sz w:val="20"/>
        <w:szCs w:val="20"/>
      </w:rPr>
    </w:pPr>
  </w:p>
  <w:p>
    <w:pPr>
      <w:jc w:val="start"/>
      <w:spacing w:before="0" w:after="0" w:line="240" w:lineRule="auto"/>
    </w:pPr>
    <w:pPr>
      <w:rPr>
        <w:rFonts w:ascii="Calibri" w:hAnsi="Calibri" w:eastAsia="Calibri" w:cs="Calibri"/>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start"/>
      <w:spacing w:before="0" w:after="0" w:line="240" w:lineRule="auto"/>
    </w:pPr>
    <w:pPr>
      <w:rPr>
        <w:rFonts w:ascii="Calibri" w:hAnsi="Calibri" w:eastAsia="Calibri" w:cs="Calibri"/>
        <w:sz w:val="20"/>
        <w:szCs w:val="20"/>
      </w:rPr>
    </w:pPr>
  </w:p>
  <w:p>
    <w:pPr>
      <w:jc w:val="start"/>
      <w:spacing w:before="0" w:after="0" w:line="240" w:lineRule="auto"/>
    </w:pPr>
    <w:r>
      <w:rPr>
        <w:rFonts w:ascii="Calibri" w:hAnsi="Calibri" w:eastAsia="Calibri" w:cs="Calibri"/>
        <w:sz w:val="20"/>
        <w:szCs w:val="20"/>
      </w:rPr>
      <w:t xml:space="preserve">Russell N. Jarem</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left"/>
    </w:pPr>
    <w:r>
      <w:pict>
        <v:shape type="#_x0000_t75" stroked="f" style="width:135pt; height:16pt; margin-left:-5.76pt; margin-top:-11.52pt; position:absolute; mso-position-horizontal:absolute; mso-position-vertical:absolute; mso-position-horizontal-relative:char; mso-position-vertical-relative:line; z-index:2147483647;">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F87D49C"/>
    <w:multiLevelType w:val="multilevel"/>
    <w:lvl w:ilvl="0">
      <w:start w:val="1"/>
      <w:numFmt w:val="bullet"/>
      <w:suff w:val="tab"/>
      <w:lvlText w:val=""/>
      <w:lvlJc w:val="left"/>
      <w:pPr>
        <w:tabs>
          <w:tab w:val="num" w:pos="720"/>
        </w:tabs>
        <w:ind w:left="216" w:hanging="216"/>
      </w:pPr>
      <w:rPr>
        <w:rFonts w:ascii="Symbol" w:hAnsi="Symbol" w:cs="Symbol" w:hint="default"/>
      </w:rPr>
    </w:lvl>
    <w:lvl w:ilvl="1">
      <w:start w:val="1"/>
      <w:numFmt w:val="bullet"/>
      <w:suff w:val="tab"/>
      <w:lvlText w:val="o"/>
      <w:lvlJc w:val="left"/>
      <w:pPr>
        <w:tabs>
          <w:tab w:val="num" w:pos="720"/>
        </w:tabs>
        <w:ind w:left="720" w:hanging="216"/>
      </w:pPr>
      <w:rPr>
        <w:rFonts w:ascii="Courier New" w:hAnsi="Courier New" w:cs="Courier New" w:hint="default"/>
      </w:rPr>
    </w:lvl>
  </w:abstractNum>
  <w:abstractNum w:abstractNumId="18">
    <w:nsid w:val="5C526092"/>
    <w:multiLevelType w:val="multilevel"/>
    <w:lvl w:ilvl="0">
      <w:start w:val="1"/>
      <w:numFmt w:val="bullet"/>
      <w:suff w:val="tab"/>
      <w:lvlText w:val=""/>
      <w:lvlJc w:val="left"/>
      <w:pPr>
        <w:tabs>
          <w:tab w:val="num" w:pos="720"/>
        </w:tabs>
        <w:ind w:left="216" w:hanging="216"/>
      </w:pPr>
      <w:rPr>
        <w:rFonts w:ascii="Symbol" w:hAnsi="Symbol" w:cs="Symbol" w:hint="default"/>
      </w:rPr>
    </w:lvl>
  </w:abstractNum>
  <w:abstractNum w:abstractNumId="21">
    <w:nsid w:val="2E06EE4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 w:numId="18">
    <w:abstractNumId w:val="18"/>
  </w:num>
  <w:num w:numId="21">
    <w:abstractNumId w:val="2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en-US"/>
      </w:rPr>
    </w:rPrDefault>
  </w:docDefaults>
  <w:style w:type="paragraph" w:default="1" w:styleId="Normal">
    <w:name w:val="Normal"/>
    <w:pPr>
      <w:jc w:val="left"/>
      <w:spacing w:before="0" w:after="120" w:line="263" w:lineRule="auto"/>
    </w:pPr>
  </w:style>
  <w:style w:type="character" w:styleId="FootnoteReference">
    <w:name w:val="Footnote Reference"/>
    <w:semiHidden/>
    <w:unhideWhenUsed/>
    <w:rPr>
      <w:vertAlign w:val="superscript"/>
    </w:rPr>
  </w:style>
  <w:style w:type="paragraph" w:customStyle="1" w:styleId="List-pStyle">
    <w:name w:val="List-pStyle"/>
    <w:basedOn w:val="Normal"/>
    <w:pPr>
      <w:jc w:val="left"/>
      <w:ind w:left="0" w:right="0" w:firstLine="0" w:hanging="216"/>
      <w:spacing w:before="0" w:after="120" w:line="240" w:lineRule="auto"/>
    </w:pPr>
  </w:style>
  <w:style w:type="character">
    <w:name w:val="link"/>
    <w:rPr>
      <w:color w:val="ff00ae"/>
    </w:rPr>
  </w:style>
  <w:style w:type="paragraph" w:customStyle="1" w:styleId="linebreak">
    <w:name w:val="linebreak"/>
    <w:basedOn w:val="Normal"/>
    <w:pPr>
      <w:spacing w:before="0" w:after="0" w:line="263" w:lineRule="auto"/>
    </w:pPr>
  </w:style>
  <w:style w:type="character">
    <w:name w:val="nameFont"/>
    <w:rPr>
      <w:rFonts w:ascii="Arial" w:hAnsi="Arial" w:eastAsia="Arial" w:cs="Arial"/>
      <w:color w:val="#3b1466"/>
      <w:sz w:val="36"/>
      <w:szCs w:val="36"/>
      <w:b w:val="1"/>
      <w:bCs w:val="1"/>
    </w:rPr>
  </w:style>
  <w:style w:type="paragraph" w:customStyle="1" w:styleId="namePStyle">
    <w:name w:val="namePStyle"/>
    <w:basedOn w:val="Normal"/>
    <w:pPr>
      <w:jc w:val="left"/>
      <w:ind w:left="0" w:right="0" w:hanging="0"/>
      <w:spacing w:before="520" w:line="300" w:lineRule="auto"/>
    </w:pPr>
  </w:style>
  <w:style w:type="character">
    <w:name w:val="contactInfoFontStyle"/>
    <w:rPr>
      <w:rFonts w:ascii="Arial" w:hAnsi="Arial" w:eastAsia="Arial" w:cs="Arial"/>
      <w:color w:val="#000"/>
      <w:sz w:val="22"/>
      <w:szCs w:val="22"/>
      <w:b w:val="0"/>
      <w:bCs w:val="0"/>
    </w:rPr>
  </w:style>
  <w:style w:type="paragraph" w:customStyle="1" w:styleId="contactInfoPStyle">
    <w:name w:val="contactInfoPStyle"/>
    <w:basedOn w:val="Normal"/>
    <w:pPr>
      <w:jc w:val="left"/>
      <w:ind w:left="0" w:right="0" w:hanging="0"/>
      <w:spacing w:before="0" w:after="0" w:line="240" w:lineRule="auto"/>
    </w:pPr>
  </w:style>
  <w:style w:type="paragraph" w:customStyle="1" w:styleId="contactInfoPStyle2">
    <w:name w:val="contactInfoPStyle2"/>
    <w:basedOn w:val="Normal"/>
    <w:pPr>
      <w:jc w:val="left"/>
      <w:ind w:left="0" w:right="0" w:hanging="0"/>
      <w:spacing w:before="0" w:after="120" w:line="240" w:lineRule="auto"/>
    </w:pPr>
  </w:style>
  <w:style w:type="paragraph" w:customStyle="1" w:styleId="contactInfoPStyleSmall">
    <w:name w:val="contactInfoPStyleSmall"/>
    <w:basedOn w:val="Normal"/>
    <w:pPr>
      <w:jc w:val="left"/>
      <w:ind w:left="0" w:right="0" w:hanging="0"/>
      <w:spacing w:before="0" w:after="120" w:line="240" w:lineRule="auto"/>
    </w:pPr>
  </w:style>
  <w:style w:type="character">
    <w:name w:val="h2"/>
    <w:rPr>
      <w:rFonts w:ascii="Arial" w:hAnsi="Arial" w:eastAsia="Arial" w:cs="Arial"/>
      <w:color w:val="#3b1466"/>
      <w:sz w:val="24"/>
      <w:szCs w:val="24"/>
      <w:b w:val="1"/>
      <w:bCs w:val="1"/>
    </w:rPr>
  </w:style>
  <w:style w:type="paragraph" w:customStyle="1" w:styleId="h2PStyle">
    <w:name w:val="h2PStyle"/>
    <w:basedOn w:val="Normal"/>
    <w:pPr>
      <w:spacing w:before="480" w:after="120" w:line="263" w:lineRule="auto"/>
    </w:pPr>
  </w:style>
  <w:style w:type="character">
    <w:name w:val="sHeadingFontStyle"/>
    <w:rPr>
      <w:rFonts w:ascii="Arial" w:hAnsi="Arial" w:eastAsia="Arial" w:cs="Arial"/>
      <w:color w:val="#3b1466"/>
      <w:sz w:val="18"/>
      <w:szCs w:val="18"/>
      <w:b w:val="1"/>
      <w:bCs w:val="1"/>
    </w:rPr>
  </w:style>
  <w:style w:type="paragraph" w:customStyle="1" w:styleId="sHeadingParargaphStyle">
    <w:name w:val="sHeadingParargaphStyle"/>
    <w:basedOn w:val="Normal"/>
    <w:pPr>
      <w:spacing w:before="60" w:after="80" w:line="259.20000000000005" w:lineRule="auto"/>
    </w:pPr>
  </w:style>
  <w:style w:type="character">
    <w:name w:val="sListFontStyle"/>
    <w:rPr>
      <w:rFonts w:ascii="Arial" w:hAnsi="Arial" w:eastAsia="Arial" w:cs="Arial"/>
      <w:color w:val="#3b14660"/>
      <w:sz w:val="18"/>
      <w:szCs w:val="18"/>
      <w:i w:val="0"/>
      <w:iCs w:val="0"/>
    </w:rPr>
  </w:style>
  <w:style w:type="character">
    <w:name w:val="sListFontStyleItalic"/>
    <w:rPr>
      <w:rFonts w:ascii="Arial" w:hAnsi="Arial" w:eastAsia="Arial" w:cs="Arial"/>
      <w:color w:val="#3b14660"/>
      <w:sz w:val="18"/>
      <w:szCs w:val="18"/>
      <w:i w:val="1"/>
      <w:iCs w:val="1"/>
    </w:rPr>
  </w:style>
  <w:style w:type="paragraph" w:customStyle="1" w:styleId="sListParagraphStyle">
    <w:name w:val="sListParagraphStyle"/>
    <w:basedOn w:val="Normal"/>
    <w:pPr>
      <w:jc w:val="left"/>
      <w:ind w:left="216" w:right="0" w:firstLine="0" w:hanging="216"/>
      <w:spacing w:after="120" w:line="240" w:lineRule="auto"/>
    </w:pPr>
  </w:style>
  <w:style w:type="paragraph" w:customStyle="1" w:styleId="sTextBreakParagraphStyle">
    <w:name w:val="sTextBreakParagraphStyle"/>
    <w:basedOn w:val="Normal"/>
    <w:pPr>
      <w:ind w:left="0" w:right="0" w:hanging="0"/>
      <w:spacing w:before="0" w:after="0" w:line="30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2024-11-21T14:55:07-05:00</dcterms:created>
  <dcterms:modified xsi:type="dcterms:W3CDTF">2024-11-21T14:55:07-05:00</dcterms:modified>
</cp:coreProperties>
</file>

<file path=docProps/custom.xml><?xml version="1.0" encoding="utf-8"?>
<Properties xmlns="http://schemas.openxmlformats.org/officeDocument/2006/custom-properties" xmlns:vt="http://schemas.openxmlformats.org/officeDocument/2006/docPropsVTypes"/>
</file>